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76" w:lineRule="auto"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Español 3 Objetivos y Fechas Importantes- Unidad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76" w:lineRule="auto"/>
        <w:contextualSpacing w:val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sz w:val="24"/>
          <w:szCs w:val="24"/>
          <w:rtl w:val="0"/>
        </w:rPr>
        <w:t xml:space="preserve">Assessment/Project dates are subject to change</w:t>
      </w: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6555"/>
        <w:gridCol w:w="2115"/>
        <w:tblGridChange w:id="0">
          <w:tblGrid>
            <w:gridCol w:w="1605"/>
            <w:gridCol w:w="6555"/>
            <w:gridCol w:w="21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Objetivos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Examen/Prueba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9/18, 9/20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Examencito 1AB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9/21, 9/24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9/25, 9/26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9/27, 9/28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10/1, 10/2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10/3, 10/4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 1AB Examen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Introducir los ensayos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10/5, 10/8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10/9, 10/10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15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10/10 PSAT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10/11, 10/12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15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10/15, 10/16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10/19, 10/22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10/23, 10/24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1CD Test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10/25, 10/26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10/26  - 4x4 1st and 3rd block midterms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10/29, 10/30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10/29 - 4x4 2nd and 3rd block midterms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10/30 End of Quarter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10/31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Workday</w:t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